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AE" w:rsidRDefault="00E139AE" w:rsidP="00E139AE">
      <w:pPr>
        <w:jc w:val="center"/>
        <w:rPr>
          <w:b/>
          <w:sz w:val="26"/>
          <w:szCs w:val="26"/>
        </w:rPr>
      </w:pPr>
    </w:p>
    <w:p w:rsidR="00E139AE" w:rsidRDefault="00E139AE" w:rsidP="00E139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DOKUMENTACE PRO</w:t>
      </w:r>
      <w:r w:rsidR="008F1F06" w:rsidRPr="008F1F06">
        <w:rPr>
          <w:b/>
          <w:sz w:val="26"/>
          <w:szCs w:val="26"/>
        </w:rPr>
        <w:t xml:space="preserve"> PROVÁDĚNÍ STAVBY</w:t>
      </w:r>
    </w:p>
    <w:p w:rsidR="00E139AE" w:rsidRDefault="00E139AE" w:rsidP="00E139AE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(ve smyslu přílohy č. </w:t>
      </w:r>
      <w:r w:rsidR="008F1F06">
        <w:rPr>
          <w:b/>
          <w:sz w:val="16"/>
          <w:szCs w:val="16"/>
        </w:rPr>
        <w:t>6</w:t>
      </w:r>
      <w:r>
        <w:rPr>
          <w:b/>
          <w:sz w:val="16"/>
          <w:szCs w:val="16"/>
        </w:rPr>
        <w:t xml:space="preserve"> vyhlášky č. 499/2006 Sb. v platném znění)</w:t>
      </w:r>
    </w:p>
    <w:p w:rsidR="006D42E2" w:rsidRDefault="006D42E2">
      <w:pPr>
        <w:jc w:val="center"/>
        <w:rPr>
          <w:b/>
        </w:rPr>
      </w:pPr>
    </w:p>
    <w:p w:rsidR="006D42E2" w:rsidRPr="009B0593" w:rsidRDefault="009B0593" w:rsidP="009B0593">
      <w:pPr>
        <w:jc w:val="center"/>
        <w:rPr>
          <w:b/>
          <w:sz w:val="28"/>
          <w:szCs w:val="28"/>
          <w:u w:val="single"/>
        </w:rPr>
      </w:pPr>
      <w:r w:rsidRPr="009B0593">
        <w:rPr>
          <w:b/>
          <w:sz w:val="28"/>
          <w:szCs w:val="28"/>
          <w:u w:val="single"/>
        </w:rPr>
        <w:t>B</w:t>
      </w:r>
      <w:r w:rsidR="00722D9D">
        <w:rPr>
          <w:b/>
          <w:sz w:val="28"/>
          <w:szCs w:val="28"/>
          <w:u w:val="single"/>
        </w:rPr>
        <w:t xml:space="preserve"> </w:t>
      </w:r>
      <w:r w:rsidRPr="009B0593">
        <w:rPr>
          <w:b/>
          <w:sz w:val="28"/>
          <w:szCs w:val="28"/>
          <w:u w:val="single"/>
        </w:rPr>
        <w:t>Souhrnná technická zpráva</w:t>
      </w:r>
    </w:p>
    <w:p w:rsidR="006D42E2" w:rsidRPr="00722D9D" w:rsidRDefault="006D42E2">
      <w:pPr>
        <w:jc w:val="both"/>
        <w:rPr>
          <w:b/>
        </w:rPr>
      </w:pPr>
    </w:p>
    <w:p w:rsidR="006D42E2" w:rsidRPr="00722D9D" w:rsidRDefault="001D2065">
      <w:pPr>
        <w:jc w:val="both"/>
        <w:rPr>
          <w:b/>
        </w:rPr>
      </w:pPr>
      <w:r w:rsidRPr="00722D9D">
        <w:rPr>
          <w:b/>
        </w:rPr>
        <w:t>Obsah:</w:t>
      </w:r>
    </w:p>
    <w:p w:rsidR="006D42E2" w:rsidRPr="00722D9D" w:rsidRDefault="006D42E2">
      <w:pPr>
        <w:jc w:val="both"/>
        <w:rPr>
          <w:b/>
        </w:rPr>
      </w:pPr>
    </w:p>
    <w:p w:rsidR="00FF256C" w:rsidRDefault="001D206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352268097" w:history="1">
        <w:r w:rsidR="00FF256C" w:rsidRPr="00A2578A">
          <w:rPr>
            <w:rStyle w:val="Hypertextovodkaz"/>
          </w:rPr>
          <w:t>a)</w:t>
        </w:r>
        <w:r w:rsidR="00FF256C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256C" w:rsidRPr="00A2578A">
          <w:rPr>
            <w:rStyle w:val="Hypertextovodkaz"/>
          </w:rPr>
          <w:t>Požadavky na zpracování dodavatelské dokumentace stavby,</w:t>
        </w:r>
        <w:r w:rsidR="00FF256C">
          <w:rPr>
            <w:webHidden/>
          </w:rPr>
          <w:tab/>
        </w:r>
        <w:r w:rsidR="00FF256C">
          <w:rPr>
            <w:webHidden/>
          </w:rPr>
          <w:fldChar w:fldCharType="begin"/>
        </w:r>
        <w:r w:rsidR="00FF256C">
          <w:rPr>
            <w:webHidden/>
          </w:rPr>
          <w:instrText xml:space="preserve"> PAGEREF _Toc352268097 \h </w:instrText>
        </w:r>
        <w:r w:rsidR="00FF256C">
          <w:rPr>
            <w:webHidden/>
          </w:rPr>
        </w:r>
        <w:r w:rsidR="00FF256C">
          <w:rPr>
            <w:webHidden/>
          </w:rPr>
          <w:fldChar w:fldCharType="separate"/>
        </w:r>
        <w:r w:rsidR="00476B0A">
          <w:rPr>
            <w:webHidden/>
          </w:rPr>
          <w:t>1</w:t>
        </w:r>
        <w:r w:rsidR="00FF256C">
          <w:rPr>
            <w:webHidden/>
          </w:rPr>
          <w:fldChar w:fldCharType="end"/>
        </w:r>
      </w:hyperlink>
    </w:p>
    <w:p w:rsidR="00FF256C" w:rsidRDefault="00AD3F51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352268098" w:history="1">
        <w:r w:rsidR="00FF256C" w:rsidRPr="00A2578A">
          <w:rPr>
            <w:rStyle w:val="Hypertextovodkaz"/>
          </w:rPr>
          <w:t>b)</w:t>
        </w:r>
        <w:r w:rsidR="00FF256C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256C" w:rsidRPr="00A2578A">
          <w:rPr>
            <w:rStyle w:val="Hypertextovodkaz"/>
          </w:rPr>
          <w:t>požadavky na zpracování plánu bezpečnosti a ochrany zdraví při práci na staveništi,</w:t>
        </w:r>
        <w:r w:rsidR="00FF256C">
          <w:rPr>
            <w:webHidden/>
          </w:rPr>
          <w:tab/>
        </w:r>
        <w:r w:rsidR="00FF256C">
          <w:rPr>
            <w:webHidden/>
          </w:rPr>
          <w:fldChar w:fldCharType="begin"/>
        </w:r>
        <w:r w:rsidR="00FF256C">
          <w:rPr>
            <w:webHidden/>
          </w:rPr>
          <w:instrText xml:space="preserve"> PAGEREF _Toc352268098 \h </w:instrText>
        </w:r>
        <w:r w:rsidR="00FF256C">
          <w:rPr>
            <w:webHidden/>
          </w:rPr>
        </w:r>
        <w:r w:rsidR="00FF256C">
          <w:rPr>
            <w:webHidden/>
          </w:rPr>
          <w:fldChar w:fldCharType="separate"/>
        </w:r>
        <w:r w:rsidR="00476B0A">
          <w:rPr>
            <w:webHidden/>
          </w:rPr>
          <w:t>1</w:t>
        </w:r>
        <w:r w:rsidR="00FF256C">
          <w:rPr>
            <w:webHidden/>
          </w:rPr>
          <w:fldChar w:fldCharType="end"/>
        </w:r>
      </w:hyperlink>
    </w:p>
    <w:p w:rsidR="00FF256C" w:rsidRDefault="00AD3F51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352268099" w:history="1">
        <w:r w:rsidR="00FF256C" w:rsidRPr="00A2578A">
          <w:rPr>
            <w:rStyle w:val="Hypertextovodkaz"/>
          </w:rPr>
          <w:t>c)</w:t>
        </w:r>
        <w:r w:rsidR="00FF256C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256C" w:rsidRPr="00A2578A">
          <w:rPr>
            <w:rStyle w:val="Hypertextovodkaz"/>
          </w:rPr>
          <w:t>podmínky realizace prací, budou-li prováděny v ochranných nebo bezpečnostních pásmech jiných staveb,</w:t>
        </w:r>
        <w:r w:rsidR="00FF256C">
          <w:rPr>
            <w:webHidden/>
          </w:rPr>
          <w:tab/>
        </w:r>
        <w:r w:rsidR="00FF256C">
          <w:rPr>
            <w:webHidden/>
          </w:rPr>
          <w:fldChar w:fldCharType="begin"/>
        </w:r>
        <w:r w:rsidR="00FF256C">
          <w:rPr>
            <w:webHidden/>
          </w:rPr>
          <w:instrText xml:space="preserve"> PAGEREF _Toc352268099 \h </w:instrText>
        </w:r>
        <w:r w:rsidR="00FF256C">
          <w:rPr>
            <w:webHidden/>
          </w:rPr>
        </w:r>
        <w:r w:rsidR="00FF256C">
          <w:rPr>
            <w:webHidden/>
          </w:rPr>
          <w:fldChar w:fldCharType="separate"/>
        </w:r>
        <w:r w:rsidR="00476B0A">
          <w:rPr>
            <w:webHidden/>
          </w:rPr>
          <w:t>1</w:t>
        </w:r>
        <w:r w:rsidR="00FF256C">
          <w:rPr>
            <w:webHidden/>
          </w:rPr>
          <w:fldChar w:fldCharType="end"/>
        </w:r>
      </w:hyperlink>
    </w:p>
    <w:p w:rsidR="00FF256C" w:rsidRDefault="00AD3F51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352268100" w:history="1">
        <w:r w:rsidR="00FF256C" w:rsidRPr="00A2578A">
          <w:rPr>
            <w:rStyle w:val="Hypertextovodkaz"/>
          </w:rPr>
          <w:t>d)</w:t>
        </w:r>
        <w:r w:rsidR="00FF256C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256C" w:rsidRPr="00A2578A">
          <w:rPr>
            <w:rStyle w:val="Hypertextovodkaz"/>
          </w:rPr>
          <w:t>zvláštní podmínky a požadavky na organizaci staveniště a provádění prací na něm, vyplývající zejména z druhu stavebních prací, v</w:t>
        </w:r>
        <w:bookmarkStart w:id="0" w:name="_GoBack"/>
        <w:bookmarkEnd w:id="0"/>
        <w:r w:rsidR="00FF256C" w:rsidRPr="00A2578A">
          <w:rPr>
            <w:rStyle w:val="Hypertextovodkaz"/>
          </w:rPr>
          <w:t>lastností staveniště nebo požadavků stavebníka na provádění stavby apod.,</w:t>
        </w:r>
        <w:r w:rsidR="00FF256C">
          <w:rPr>
            <w:webHidden/>
          </w:rPr>
          <w:tab/>
        </w:r>
        <w:r w:rsidR="00FF256C">
          <w:rPr>
            <w:webHidden/>
          </w:rPr>
          <w:fldChar w:fldCharType="begin"/>
        </w:r>
        <w:r w:rsidR="00FF256C">
          <w:rPr>
            <w:webHidden/>
          </w:rPr>
          <w:instrText xml:space="preserve"> PAGEREF _Toc352268100 \h </w:instrText>
        </w:r>
        <w:r w:rsidR="00FF256C">
          <w:rPr>
            <w:webHidden/>
          </w:rPr>
        </w:r>
        <w:r w:rsidR="00FF256C">
          <w:rPr>
            <w:webHidden/>
          </w:rPr>
          <w:fldChar w:fldCharType="separate"/>
        </w:r>
        <w:r w:rsidR="00476B0A">
          <w:rPr>
            <w:webHidden/>
          </w:rPr>
          <w:t>2</w:t>
        </w:r>
        <w:r w:rsidR="00FF256C">
          <w:rPr>
            <w:webHidden/>
          </w:rPr>
          <w:fldChar w:fldCharType="end"/>
        </w:r>
      </w:hyperlink>
    </w:p>
    <w:p w:rsidR="00FF256C" w:rsidRDefault="00AD3F51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352268101" w:history="1">
        <w:r w:rsidR="00FF256C" w:rsidRPr="00A2578A">
          <w:rPr>
            <w:rStyle w:val="Hypertextovodkaz"/>
          </w:rPr>
          <w:t>e)</w:t>
        </w:r>
        <w:r w:rsidR="00FF256C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256C" w:rsidRPr="00A2578A">
          <w:rPr>
            <w:rStyle w:val="Hypertextovodkaz"/>
          </w:rPr>
          <w:t>ochrana životního prostředí při výstavbě.</w:t>
        </w:r>
        <w:r w:rsidR="00FF256C">
          <w:rPr>
            <w:webHidden/>
          </w:rPr>
          <w:tab/>
        </w:r>
        <w:r w:rsidR="00FF256C">
          <w:rPr>
            <w:webHidden/>
          </w:rPr>
          <w:fldChar w:fldCharType="begin"/>
        </w:r>
        <w:r w:rsidR="00FF256C">
          <w:rPr>
            <w:webHidden/>
          </w:rPr>
          <w:instrText xml:space="preserve"> PAGEREF _Toc352268101 \h </w:instrText>
        </w:r>
        <w:r w:rsidR="00FF256C">
          <w:rPr>
            <w:webHidden/>
          </w:rPr>
        </w:r>
        <w:r w:rsidR="00FF256C">
          <w:rPr>
            <w:webHidden/>
          </w:rPr>
          <w:fldChar w:fldCharType="separate"/>
        </w:r>
        <w:r w:rsidR="00476B0A">
          <w:rPr>
            <w:webHidden/>
          </w:rPr>
          <w:t>2</w:t>
        </w:r>
        <w:r w:rsidR="00FF256C">
          <w:rPr>
            <w:webHidden/>
          </w:rPr>
          <w:fldChar w:fldCharType="end"/>
        </w:r>
      </w:hyperlink>
    </w:p>
    <w:p w:rsidR="00DD3B6C" w:rsidRDefault="001D2065" w:rsidP="00DD3B6C">
      <w:r>
        <w:fldChar w:fldCharType="end"/>
      </w:r>
    </w:p>
    <w:p w:rsidR="00441752" w:rsidRDefault="00441752" w:rsidP="00441752">
      <w:pPr>
        <w:pBdr>
          <w:top w:val="single" w:sz="4" w:space="1" w:color="auto"/>
        </w:pBdr>
      </w:pPr>
    </w:p>
    <w:p w:rsidR="00722D9D" w:rsidRDefault="00722D9D" w:rsidP="00441752">
      <w:pPr>
        <w:rPr>
          <w:rFonts w:eastAsiaTheme="minorHAnsi"/>
        </w:rPr>
      </w:pPr>
    </w:p>
    <w:p w:rsidR="00FF256C" w:rsidRPr="00FF256C" w:rsidRDefault="00FF256C" w:rsidP="00FF256C">
      <w:pPr>
        <w:rPr>
          <w:rFonts w:eastAsiaTheme="minorHAnsi"/>
        </w:rPr>
      </w:pPr>
    </w:p>
    <w:p w:rsidR="00FF256C" w:rsidRPr="00FF256C" w:rsidRDefault="00FF256C" w:rsidP="00FF256C">
      <w:pPr>
        <w:pStyle w:val="Nadpis1"/>
      </w:pPr>
      <w:bookmarkStart w:id="1" w:name="_Toc352268097"/>
      <w:r>
        <w:t>P</w:t>
      </w:r>
      <w:r w:rsidRPr="00FF256C">
        <w:t>ožadavky na zpracování dodavatelské dokumentace stavby,</w:t>
      </w:r>
      <w:bookmarkEnd w:id="1"/>
    </w:p>
    <w:p w:rsidR="00096A53" w:rsidRPr="00BC695E" w:rsidRDefault="00096A53" w:rsidP="00096A53">
      <w:pPr>
        <w:rPr>
          <w:rFonts w:cs="Arial"/>
        </w:rPr>
      </w:pPr>
      <w:r w:rsidRPr="00601497">
        <w:rPr>
          <w:rFonts w:cs="Arial"/>
        </w:rPr>
        <w:t xml:space="preserve">Dodavatelem stavby bude </w:t>
      </w:r>
      <w:proofErr w:type="gramStart"/>
      <w:r w:rsidRPr="00601497">
        <w:rPr>
          <w:rFonts w:cs="Arial"/>
        </w:rPr>
        <w:t>vypracována  realizační</w:t>
      </w:r>
      <w:proofErr w:type="gramEnd"/>
      <w:r w:rsidRPr="00601497">
        <w:rPr>
          <w:rFonts w:cs="Arial"/>
        </w:rPr>
        <w:t>, dílenská a dodavatelská (výrobní) dok</w:t>
      </w:r>
      <w:r w:rsidRPr="00601497">
        <w:rPr>
          <w:rFonts w:cs="Arial"/>
        </w:rPr>
        <w:t>u</w:t>
      </w:r>
      <w:r w:rsidRPr="00BC695E">
        <w:rPr>
          <w:rFonts w:cs="Arial"/>
        </w:rPr>
        <w:t>mentac</w:t>
      </w:r>
      <w:r w:rsidR="004C26EA">
        <w:rPr>
          <w:rFonts w:cs="Arial"/>
        </w:rPr>
        <w:t>e</w:t>
      </w:r>
      <w:r w:rsidRPr="00BC695E">
        <w:rPr>
          <w:rFonts w:cs="Arial"/>
        </w:rPr>
        <w:t xml:space="preserve"> v souladu s vyhláškou č. 499/2006 Sb.. </w:t>
      </w:r>
    </w:p>
    <w:p w:rsidR="00FF256C" w:rsidRPr="00096A53" w:rsidRDefault="00096A53" w:rsidP="00FF256C">
      <w:r w:rsidRPr="00BC695E">
        <w:t>Dodavatel předloží ke schválení potřebné detaily dodavatelské dokumentace k odsouhlasení investorovi.</w:t>
      </w:r>
    </w:p>
    <w:p w:rsidR="00FF256C" w:rsidRDefault="00FF256C" w:rsidP="00FF256C">
      <w:pPr>
        <w:rPr>
          <w:rFonts w:eastAsiaTheme="minorHAnsi"/>
        </w:rPr>
      </w:pPr>
    </w:p>
    <w:p w:rsidR="00FF256C" w:rsidRPr="00FF256C" w:rsidRDefault="00FF256C" w:rsidP="00FF256C">
      <w:pPr>
        <w:pStyle w:val="Nadpis1"/>
      </w:pPr>
      <w:bookmarkStart w:id="2" w:name="_Toc352268098"/>
      <w:r w:rsidRPr="00FF256C">
        <w:t>požadavky na zpracování plánu bezpečnosti a ochrany zdraví při práci na staveni</w:t>
      </w:r>
      <w:r w:rsidRPr="00FF256C">
        <w:t>š</w:t>
      </w:r>
      <w:r w:rsidRPr="00FF256C">
        <w:t>ti,</w:t>
      </w:r>
      <w:bookmarkEnd w:id="2"/>
    </w:p>
    <w:p w:rsidR="00096A53" w:rsidRPr="00BC695E" w:rsidRDefault="00096A53" w:rsidP="00096A53">
      <w:pPr>
        <w:jc w:val="both"/>
        <w:rPr>
          <w:rFonts w:cs="Arial"/>
        </w:rPr>
      </w:pPr>
      <w:r w:rsidRPr="00BC695E">
        <w:rPr>
          <w:rFonts w:cs="Arial"/>
        </w:rPr>
        <w:t>Bezpečnost práce a ochrana zdraví na této stavbě vychází z platného zákoníku práce Zákon č. 262/2006 Sb., zákona č. 309/2006 Sb. (kterým se upravují další požadavky BOZP  v pracovněprávních vztazích a o zajištění BOZP) a NV 591/2006 Sb. (o bezpečnosti práce a provozu při stavebních pracích), NV 101/2005 Sb., NV č. 378/2001 Sb., NV č. 148/2006 Sb., NV 148/2006 Sb., NV362/2005 Sb. doplněné interními předpisy dodavatele statického zaji</w:t>
      </w:r>
      <w:r w:rsidRPr="00BC695E">
        <w:rPr>
          <w:rFonts w:cs="Arial"/>
        </w:rPr>
        <w:t>š</w:t>
      </w:r>
      <w:r w:rsidRPr="00BC695E">
        <w:rPr>
          <w:rFonts w:cs="Arial"/>
        </w:rPr>
        <w:t>tění, včetně registru rizik pro tuto stavbu.</w:t>
      </w:r>
    </w:p>
    <w:p w:rsidR="00096A53" w:rsidRPr="00BC695E" w:rsidRDefault="00096A53" w:rsidP="00096A53">
      <w:pPr>
        <w:rPr>
          <w:rFonts w:cs="Arial"/>
        </w:rPr>
      </w:pPr>
      <w:r w:rsidRPr="00BC695E">
        <w:rPr>
          <w:rFonts w:cs="Arial"/>
        </w:rPr>
        <w:t>Za vybavení pracoviště ochrannými pomůckami odpovídá v plné míře dodavatelská organ</w:t>
      </w:r>
      <w:r w:rsidRPr="00BC695E">
        <w:rPr>
          <w:rFonts w:cs="Arial"/>
        </w:rPr>
        <w:t>i</w:t>
      </w:r>
      <w:r w:rsidRPr="00BC695E">
        <w:rPr>
          <w:rFonts w:cs="Arial"/>
        </w:rPr>
        <w:t>zace, stejně tak ve věci poučení a proškolení pracovníků, zajištění odborného vedení a d</w:t>
      </w:r>
      <w:r w:rsidRPr="00BC695E">
        <w:rPr>
          <w:rFonts w:cs="Arial"/>
        </w:rPr>
        <w:t>o</w:t>
      </w:r>
      <w:r w:rsidRPr="00BC695E">
        <w:rPr>
          <w:rFonts w:cs="Arial"/>
        </w:rPr>
        <w:t xml:space="preserve">zoru. </w:t>
      </w:r>
    </w:p>
    <w:p w:rsidR="00096A53" w:rsidRPr="00BC695E" w:rsidRDefault="00096A53" w:rsidP="00096A53">
      <w:pPr>
        <w:rPr>
          <w:rFonts w:cs="Arial"/>
        </w:rPr>
      </w:pPr>
      <w:r w:rsidRPr="00BC695E">
        <w:rPr>
          <w:rFonts w:cs="Arial"/>
        </w:rPr>
        <w:t>Vzájemné vztahy, závazky a povinnosti v oblasti bezpečnosti práce musí být mezi účastníky výstavby dohodnuty předem a musí být obsaženy v zápise o odevzdání staveniště, pokud již nejsou stanoveny ve smlouvě o dílo.</w:t>
      </w:r>
    </w:p>
    <w:p w:rsidR="00096A53" w:rsidRPr="00BC695E" w:rsidRDefault="00096A53" w:rsidP="00096A53">
      <w:pPr>
        <w:jc w:val="both"/>
        <w:rPr>
          <w:rFonts w:cs="Arial"/>
        </w:rPr>
      </w:pPr>
      <w:r w:rsidRPr="00BC695E">
        <w:rPr>
          <w:rFonts w:cs="Arial"/>
        </w:rPr>
        <w:t>V dosahu stavebních strojů se nesmí zdržovat pracovníci, kteří nejsou přímo zap</w:t>
      </w:r>
      <w:r w:rsidRPr="00BC695E">
        <w:rPr>
          <w:rFonts w:cs="Arial"/>
        </w:rPr>
        <w:t>o</w:t>
      </w:r>
      <w:r w:rsidRPr="00BC695E">
        <w:rPr>
          <w:rFonts w:cs="Arial"/>
        </w:rPr>
        <w:t>jeni do pracovního procesu a bez požadované kvalifikace. Při otáčení, couvání a zajíždění na st</w:t>
      </w:r>
      <w:r w:rsidRPr="00BC695E">
        <w:rPr>
          <w:rFonts w:cs="Arial"/>
        </w:rPr>
        <w:t>a</w:t>
      </w:r>
      <w:r w:rsidRPr="00BC695E">
        <w:rPr>
          <w:rFonts w:cs="Arial"/>
        </w:rPr>
        <w:t>veniště musí být doprava řízena pověřeným pracovníkem dodavatele. Veškeré stav</w:t>
      </w:r>
      <w:r w:rsidRPr="00BC695E">
        <w:rPr>
          <w:rFonts w:cs="Arial"/>
        </w:rPr>
        <w:t>e</w:t>
      </w:r>
      <w:r w:rsidRPr="00BC695E">
        <w:rPr>
          <w:rFonts w:cs="Arial"/>
        </w:rPr>
        <w:t xml:space="preserve">ništní přípojky musí být vyřešeny tak, aby umožňovaly bezpečný průchod.  </w:t>
      </w:r>
    </w:p>
    <w:p w:rsidR="004C26EA" w:rsidRDefault="00096A53" w:rsidP="00096A53">
      <w:pPr>
        <w:jc w:val="both"/>
        <w:rPr>
          <w:rFonts w:cs="Arial"/>
        </w:rPr>
      </w:pPr>
      <w:r w:rsidRPr="00BC695E">
        <w:rPr>
          <w:rFonts w:cs="Arial"/>
        </w:rPr>
        <w:t xml:space="preserve">Zhotovitel prací je povinen provádět pravidelná školení zainteresovaných pracovníků na stavbě z platných předpisů BOZP a PO a vést o nich prokazatelně záznamy. </w:t>
      </w:r>
    </w:p>
    <w:p w:rsidR="00096A53" w:rsidRPr="00BC695E" w:rsidRDefault="00096A53" w:rsidP="00096A53">
      <w:pPr>
        <w:jc w:val="both"/>
        <w:rPr>
          <w:rFonts w:cs="Arial"/>
        </w:rPr>
      </w:pPr>
      <w:r w:rsidRPr="00BC695E">
        <w:rPr>
          <w:rFonts w:cs="Arial"/>
        </w:rPr>
        <w:t>Pro každé pracoviště musí být vypracován příslušný technologický postup a registr rizik d</w:t>
      </w:r>
      <w:r w:rsidRPr="00BC695E">
        <w:rPr>
          <w:rFonts w:cs="Arial"/>
        </w:rPr>
        <w:t>o</w:t>
      </w:r>
      <w:r w:rsidRPr="00BC695E">
        <w:rPr>
          <w:rFonts w:cs="Arial"/>
        </w:rPr>
        <w:t>davatele - zhotovitele, včetně zajištění podmínek BOZP, PO, přístupových cest a hygieni</w:t>
      </w:r>
      <w:r w:rsidRPr="00BC695E">
        <w:rPr>
          <w:rFonts w:cs="Arial"/>
        </w:rPr>
        <w:t>c</w:t>
      </w:r>
      <w:r w:rsidRPr="00BC695E">
        <w:rPr>
          <w:rFonts w:cs="Arial"/>
        </w:rPr>
        <w:t>kých podm</w:t>
      </w:r>
      <w:r w:rsidRPr="00BC695E">
        <w:rPr>
          <w:rFonts w:cs="Arial"/>
        </w:rPr>
        <w:t>í</w:t>
      </w:r>
      <w:r w:rsidRPr="00BC695E">
        <w:rPr>
          <w:rFonts w:cs="Arial"/>
        </w:rPr>
        <w:t xml:space="preserve">nek na stavbě.   </w:t>
      </w:r>
    </w:p>
    <w:p w:rsidR="00FF256C" w:rsidRPr="00FF256C" w:rsidRDefault="00FF256C" w:rsidP="00FF256C">
      <w:pPr>
        <w:rPr>
          <w:rFonts w:eastAsiaTheme="minorHAnsi"/>
        </w:rPr>
      </w:pPr>
    </w:p>
    <w:p w:rsidR="00FF256C" w:rsidRPr="00FF256C" w:rsidRDefault="00FF256C" w:rsidP="00FF256C">
      <w:pPr>
        <w:pStyle w:val="Nadpis1"/>
      </w:pPr>
      <w:bookmarkStart w:id="3" w:name="_Toc352268099"/>
      <w:r w:rsidRPr="00FF256C">
        <w:t>podmínky realizace prací, budou-li prováděny v ochranných nebo bezpečnostních pásmech jiných staveb,</w:t>
      </w:r>
      <w:bookmarkEnd w:id="3"/>
    </w:p>
    <w:p w:rsidR="00FF256C" w:rsidRDefault="004C26EA" w:rsidP="00FF256C">
      <w:pPr>
        <w:rPr>
          <w:rFonts w:eastAsiaTheme="minorHAnsi"/>
        </w:rPr>
      </w:pPr>
      <w:r>
        <w:rPr>
          <w:rFonts w:eastAsiaTheme="minorHAnsi"/>
        </w:rPr>
        <w:t>neobsazeno</w:t>
      </w:r>
    </w:p>
    <w:p w:rsidR="00FF256C" w:rsidRDefault="00FF256C" w:rsidP="00FF256C">
      <w:pPr>
        <w:rPr>
          <w:rFonts w:eastAsiaTheme="minorHAnsi"/>
        </w:rPr>
      </w:pPr>
    </w:p>
    <w:p w:rsidR="00FF256C" w:rsidRPr="00FF256C" w:rsidRDefault="00FF256C" w:rsidP="00FF256C">
      <w:pPr>
        <w:rPr>
          <w:rFonts w:eastAsiaTheme="minorHAnsi"/>
        </w:rPr>
      </w:pPr>
    </w:p>
    <w:p w:rsidR="00FF256C" w:rsidRPr="00FF256C" w:rsidRDefault="00FF256C" w:rsidP="00FF256C">
      <w:pPr>
        <w:pStyle w:val="Nadpis1"/>
      </w:pPr>
      <w:bookmarkStart w:id="4" w:name="_Toc352268100"/>
      <w:r w:rsidRPr="00FF256C">
        <w:t>zvláštní podmínky a požadavky na organizaci staveniště a provádění prací na něm, vyplývající zejména z druhu stavebních prací, vlastností staveniště nebo požada</w:t>
      </w:r>
      <w:r w:rsidRPr="00FF256C">
        <w:t>v</w:t>
      </w:r>
      <w:r w:rsidRPr="00FF256C">
        <w:t>ků stavebníka na provádění stavby apod.,</w:t>
      </w:r>
      <w:bookmarkEnd w:id="4"/>
    </w:p>
    <w:p w:rsidR="00B93136" w:rsidRDefault="00B93136" w:rsidP="00096A53">
      <w:pPr>
        <w:rPr>
          <w:rFonts w:eastAsiaTheme="minorHAnsi"/>
        </w:rPr>
      </w:pPr>
    </w:p>
    <w:p w:rsidR="004C26EA" w:rsidRDefault="004C26EA" w:rsidP="00B93136">
      <w:pPr>
        <w:rPr>
          <w:rFonts w:eastAsiaTheme="minorHAnsi"/>
        </w:rPr>
      </w:pPr>
      <w:r w:rsidRPr="000D5A54">
        <w:rPr>
          <w:rFonts w:eastAsiaTheme="minorHAnsi"/>
        </w:rPr>
        <w:t xml:space="preserve">Stavba se bude provádět za provozu ve stávajících objektech. Dodavatel stavby bude </w:t>
      </w:r>
      <w:proofErr w:type="spellStart"/>
      <w:r w:rsidRPr="000D5A54">
        <w:rPr>
          <w:rFonts w:eastAsiaTheme="minorHAnsi"/>
        </w:rPr>
        <w:t>povi-nen</w:t>
      </w:r>
      <w:proofErr w:type="spellEnd"/>
      <w:r w:rsidRPr="000D5A54">
        <w:rPr>
          <w:rFonts w:eastAsiaTheme="minorHAnsi"/>
        </w:rPr>
        <w:t xml:space="preserve"> dodržovat podmínky investora pro provádění stavebních prací v těchto objektech anebo v jejich bezprostřední blízkosti. </w:t>
      </w:r>
    </w:p>
    <w:p w:rsidR="00B93136" w:rsidRPr="000D5A54" w:rsidRDefault="0090472A" w:rsidP="00B93136">
      <w:pPr>
        <w:rPr>
          <w:rFonts w:eastAsiaTheme="minorHAnsi"/>
        </w:rPr>
      </w:pPr>
      <w:r>
        <w:rPr>
          <w:rFonts w:eastAsiaTheme="minorHAnsi"/>
        </w:rPr>
        <w:t>D</w:t>
      </w:r>
      <w:r w:rsidR="00B93136" w:rsidRPr="000D5A54">
        <w:rPr>
          <w:rFonts w:eastAsiaTheme="minorHAnsi"/>
        </w:rPr>
        <w:t>odavatel před výstavbou předloží návrh zohlednění klim</w:t>
      </w:r>
      <w:r w:rsidR="00B93136" w:rsidRPr="000D5A54">
        <w:rPr>
          <w:rFonts w:eastAsiaTheme="minorHAnsi"/>
        </w:rPr>
        <w:t>a</w:t>
      </w:r>
      <w:r w:rsidR="00B93136" w:rsidRPr="000D5A54">
        <w:rPr>
          <w:rFonts w:eastAsiaTheme="minorHAnsi"/>
        </w:rPr>
        <w:t>tických podmínek při výstavbě (výstavba v zimním období, apod.).</w:t>
      </w:r>
    </w:p>
    <w:p w:rsidR="00B93136" w:rsidRDefault="00B93136" w:rsidP="00B93136">
      <w:pPr>
        <w:rPr>
          <w:rFonts w:eastAsiaTheme="minorHAnsi"/>
          <w:color w:val="00B0F0"/>
        </w:rPr>
      </w:pP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 xml:space="preserve">Při přípravě staveniště a provádění všech prací je nutné dodržovat platné předpisy BOZP a PO. </w:t>
      </w:r>
    </w:p>
    <w:p w:rsidR="00B93136" w:rsidRPr="000D5A54" w:rsidRDefault="00B93136" w:rsidP="00B93136">
      <w:pPr>
        <w:rPr>
          <w:rFonts w:eastAsiaTheme="minorHAnsi"/>
        </w:rPr>
      </w:pP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 xml:space="preserve">Dodavatel provede a zajistí na svůj účet veškeré potřebné pomocné a ochranné konstrukce včetně lešení. V ceně lešení bude jeho doprava, montáž, demontáž a náklady spojené s pronájmem. 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 xml:space="preserve">Součástí dodávky je závěrečný kompletní úklid. </w:t>
      </w:r>
    </w:p>
    <w:p w:rsidR="00B93136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V případě vzniklých škod zaviněných dodavatelem na veřejném či soukromém majetku v souvislosti s pracemi dle tohoto popisu, uhradí tyto škody plně dodavatel.</w:t>
      </w:r>
    </w:p>
    <w:p w:rsidR="005E3C09" w:rsidRPr="00705B09" w:rsidRDefault="005E3C09" w:rsidP="00B93136">
      <w:pPr>
        <w:rPr>
          <w:rFonts w:eastAsiaTheme="minorHAnsi"/>
        </w:rPr>
      </w:pPr>
    </w:p>
    <w:p w:rsidR="00FF256C" w:rsidRDefault="00FF256C" w:rsidP="00FF256C">
      <w:pPr>
        <w:pStyle w:val="Nadpis1"/>
      </w:pPr>
      <w:bookmarkStart w:id="5" w:name="_Toc352268101"/>
      <w:r w:rsidRPr="00FF256C">
        <w:t>ochrana životního prostředí při výstavbě.</w:t>
      </w:r>
      <w:bookmarkEnd w:id="5"/>
    </w:p>
    <w:p w:rsidR="00096A53" w:rsidRPr="00BC695E" w:rsidRDefault="00096A53" w:rsidP="00096A53">
      <w:pPr>
        <w:jc w:val="both"/>
        <w:rPr>
          <w:rFonts w:cs="Arial"/>
        </w:rPr>
      </w:pPr>
      <w:r w:rsidRPr="00BC695E">
        <w:rPr>
          <w:rFonts w:cs="Arial"/>
        </w:rPr>
        <w:t>Vlastní stavební práce budou prováděny tak, aby stavební činností nebyly dotčeny okolní pozemky.</w:t>
      </w:r>
    </w:p>
    <w:p w:rsidR="00B93136" w:rsidRPr="000D5A54" w:rsidRDefault="00B93136" w:rsidP="00B93136">
      <w:pPr>
        <w:rPr>
          <w:rFonts w:eastAsiaTheme="minorHAnsi"/>
        </w:rPr>
      </w:pP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Stavební práce budou prováděny v souladu s nařízením vlády č.272/2011 Sb. o ochraně zdraví před nepříznivými účinky hluku a vibrací bude základní hladina akustického tlaku A ve venkovním prostředí (pro provádění povolených staveb) 50 dB. Korekce přihlížející ke druhu chráněného prostoru a denní a noční době jsou stanoveny dle přílohy 3 k nařízení vlády 272/2011 Sb.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Nejvyšší přípustná ekvivalentní hladina akustického tlaku A v chráněném venkovním prost</w:t>
      </w:r>
      <w:r w:rsidRPr="000D5A54">
        <w:rPr>
          <w:rFonts w:eastAsiaTheme="minorHAnsi"/>
        </w:rPr>
        <w:t>o</w:t>
      </w:r>
      <w:r w:rsidRPr="000D5A54">
        <w:rPr>
          <w:rFonts w:eastAsiaTheme="minorHAnsi"/>
        </w:rPr>
        <w:t>ru staveb je: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 xml:space="preserve">od 6.00 do 7.00         50 dB + 10 dB = 60 dB 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od 7.00 do 21.00       50 dB + 15 dB = 65 dB</w:t>
      </w:r>
    </w:p>
    <w:p w:rsidR="0095007C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od 21.00 do 22.00     50 dB + 10 dB = 60 dB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 xml:space="preserve">od 22.00 do 6.00       50 </w:t>
      </w:r>
      <w:proofErr w:type="gramStart"/>
      <w:r w:rsidRPr="000D5A54">
        <w:rPr>
          <w:rFonts w:eastAsiaTheme="minorHAnsi"/>
        </w:rPr>
        <w:t>dB +   5 dB</w:t>
      </w:r>
      <w:proofErr w:type="gramEnd"/>
      <w:r w:rsidRPr="000D5A54">
        <w:rPr>
          <w:rFonts w:eastAsiaTheme="minorHAnsi"/>
        </w:rPr>
        <w:t xml:space="preserve"> = 55 dB</w:t>
      </w:r>
    </w:p>
    <w:p w:rsidR="00B93136" w:rsidRPr="000D5A54" w:rsidRDefault="00B93136" w:rsidP="00B93136">
      <w:pPr>
        <w:rPr>
          <w:rFonts w:eastAsiaTheme="minorHAnsi"/>
        </w:rPr>
      </w:pP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V zájmu co největšího snížení hlučnosti v okolí realizované stavby, je nutno dodržet, resp. přijmout následující opatření: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Veškeré stavební práce budou prováděny tak, aby se minimalizoval dopad na okolí a st</w:t>
      </w:r>
      <w:r w:rsidRPr="000D5A54">
        <w:rPr>
          <w:rFonts w:eastAsiaTheme="minorHAnsi"/>
        </w:rPr>
        <w:t>a</w:t>
      </w:r>
      <w:r w:rsidRPr="000D5A54">
        <w:rPr>
          <w:rFonts w:eastAsiaTheme="minorHAnsi"/>
        </w:rPr>
        <w:t>vební činnost neomezovala žádné stávající objekty a provozy v sousedství.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Používat stroje opatřené předepsanými akustickými zákryty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Používat stroje v bezvadném technickém stavu a správně seřízené, provádět pravidelnou údržbu.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Chod strojů naprázdno omezit na nezbytně nutnou dobu.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Před započetím prací vypracovat detailní harmonogram vedení prací tak, aby nedocházelo k</w:t>
      </w:r>
      <w:r w:rsidR="00476B0A">
        <w:rPr>
          <w:rFonts w:eastAsiaTheme="minorHAnsi"/>
        </w:rPr>
        <w:t> </w:t>
      </w:r>
      <w:r w:rsidRPr="000D5A54">
        <w:rPr>
          <w:rFonts w:eastAsiaTheme="minorHAnsi"/>
        </w:rPr>
        <w:t>prostojům</w:t>
      </w:r>
      <w:r w:rsidR="00476B0A">
        <w:rPr>
          <w:rFonts w:eastAsiaTheme="minorHAnsi"/>
        </w:rPr>
        <w:t>.</w:t>
      </w:r>
    </w:p>
    <w:p w:rsidR="00B93136" w:rsidRPr="000D5A54" w:rsidRDefault="00B93136" w:rsidP="00B93136">
      <w:pPr>
        <w:rPr>
          <w:rFonts w:eastAsiaTheme="minorHAnsi"/>
        </w:rPr>
      </w:pPr>
      <w:r w:rsidRPr="000D5A54">
        <w:rPr>
          <w:rFonts w:eastAsiaTheme="minorHAnsi"/>
        </w:rPr>
        <w:t>Hodnoty akustického výkonu jednotlivých strojů nesmí překračovat hodnoty dle nařízení vlá-dy č.9/2002 Sb., kterým se stanoví technické požadavky na výrobky z hlediska emisí hluku, ve znění nařízení vlády č. 342/2003 Sb. a nařízení č.198/2006 Sb.</w:t>
      </w:r>
    </w:p>
    <w:p w:rsidR="00B93136" w:rsidRDefault="00B93136" w:rsidP="00B93136">
      <w:pPr>
        <w:rPr>
          <w:rFonts w:eastAsiaTheme="minorHAnsi"/>
        </w:rPr>
      </w:pPr>
    </w:p>
    <w:p w:rsidR="00B93136" w:rsidRPr="005E3C09" w:rsidRDefault="005E3C09" w:rsidP="00096A53">
      <w:pPr>
        <w:rPr>
          <w:rFonts w:cs="Arial"/>
          <w:b/>
        </w:rPr>
      </w:pPr>
      <w:r w:rsidRPr="005E3C09">
        <w:rPr>
          <w:rFonts w:cs="Arial"/>
          <w:b/>
        </w:rPr>
        <w:t>Odpady: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>Množství stavebních odpadů nelze jednoznačným způsobem predikovat.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lastRenderedPageBreak/>
        <w:t xml:space="preserve">Rozhodujícím dokladem pro určení skutečného množství odpadů budou údaje získané z evidence odstranění odpadů, které budou předloženy ke kolaudaci stavby. 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 xml:space="preserve">Se vzniklými odpady bude nakládáno podle jejich skutečných vlastností. 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>Odpovědnost za nakládání s odpady vznikajícími při stavbě bude na straně zhotovitele sta</w:t>
      </w:r>
      <w:r w:rsidRPr="005E3C09">
        <w:rPr>
          <w:rFonts w:cs="Arial"/>
        </w:rPr>
        <w:t>v</w:t>
      </w:r>
      <w:r w:rsidRPr="005E3C09">
        <w:rPr>
          <w:rFonts w:cs="Arial"/>
        </w:rPr>
        <w:t>by. Využití nebo odstranění odpadu bude zajištěno servisním způsobem u oprávněných osob.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 xml:space="preserve">Odpady, které budou vznikat během výstavby, budou shromaždovány ve vhodných sběrných nádobách a kontejnerech. 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>Zvláštní důraz bude kladen na shromaždování odpadů kategorie „N“ – budou umísťovány do vyčleněných uzavřených nepropustných nádob a zabezpečených tak, aby nemohlo dojít k neoprávněné manipulaci s odpady nebo k úniku do prostoru mimo nádoby; sběrné nádoby budou opatřeny ILNO.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>Odpady budou shromažďovány utříděné podle jednotlivých druhů a kategorií. Odvoz k využití / odstranění bude zajišťován průběžně, po dosažení technicky a ekonomicky opt</w:t>
      </w:r>
      <w:r w:rsidRPr="005E3C09">
        <w:rPr>
          <w:rFonts w:cs="Arial"/>
        </w:rPr>
        <w:t>i</w:t>
      </w:r>
      <w:r w:rsidRPr="005E3C09">
        <w:rPr>
          <w:rFonts w:cs="Arial"/>
        </w:rPr>
        <w:t xml:space="preserve">málního množství. 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>Vlastní manipulace s odpady vznikajícími při výstavbě bude zabezpečena tak, aby bylo m</w:t>
      </w:r>
      <w:r w:rsidRPr="005E3C09">
        <w:rPr>
          <w:rFonts w:cs="Arial"/>
        </w:rPr>
        <w:t>i</w:t>
      </w:r>
      <w:r w:rsidRPr="005E3C09">
        <w:rPr>
          <w:rFonts w:cs="Arial"/>
        </w:rPr>
        <w:t xml:space="preserve">nimalizováno případné ovlivnění životního prostředí. 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>Za dodržování předpisů pro nakládání s odpady, včetně vyhovujícího způsobu likvidace, kt</w:t>
      </w:r>
      <w:r w:rsidRPr="005E3C09">
        <w:rPr>
          <w:rFonts w:cs="Arial"/>
        </w:rPr>
        <w:t>e</w:t>
      </w:r>
      <w:r w:rsidRPr="005E3C09">
        <w:rPr>
          <w:rFonts w:cs="Arial"/>
        </w:rPr>
        <w:t xml:space="preserve">ré vzniknou v průběhu výstavby, odpovídá dodavatel stavby. </w:t>
      </w:r>
    </w:p>
    <w:p w:rsidR="005E3C09" w:rsidRPr="005E3C09" w:rsidRDefault="005E3C09" w:rsidP="005E3C09">
      <w:pPr>
        <w:rPr>
          <w:rFonts w:cs="Arial"/>
        </w:rPr>
      </w:pPr>
      <w:r w:rsidRPr="005E3C09">
        <w:rPr>
          <w:rFonts w:cs="Arial"/>
        </w:rPr>
        <w:t xml:space="preserve">Likvidace odpadu bude v souladu se zákonem č.185/2001 Sb. </w:t>
      </w:r>
    </w:p>
    <w:p w:rsidR="00B93136" w:rsidRPr="00BC695E" w:rsidRDefault="00B93136" w:rsidP="00096A53">
      <w:pPr>
        <w:rPr>
          <w:rFonts w:cs="Arial"/>
        </w:rPr>
      </w:pPr>
    </w:p>
    <w:sectPr w:rsidR="00B93136" w:rsidRPr="00BC69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DC" w:rsidRDefault="008E09DC">
      <w:r>
        <w:separator/>
      </w:r>
    </w:p>
  </w:endnote>
  <w:endnote w:type="continuationSeparator" w:id="0">
    <w:p w:rsidR="008E09DC" w:rsidRDefault="008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E2" w:rsidRDefault="006D42E2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0F526B" w:rsidRPr="002A61C9" w:rsidTr="00D51903">
      <w:tc>
        <w:tcPr>
          <w:tcW w:w="6345" w:type="dxa"/>
          <w:tcBorders>
            <w:top w:val="single" w:sz="4" w:space="0" w:color="auto"/>
          </w:tcBorders>
        </w:tcPr>
        <w:p w:rsidR="000F526B" w:rsidRPr="002A61C9" w:rsidRDefault="000F526B" w:rsidP="004C26EA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9A327B">
            <w:rPr>
              <w:noProof/>
              <w:sz w:val="16"/>
              <w:szCs w:val="16"/>
            </w:rPr>
            <w:t>B_souhrnná_technická_zpráva.docx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0F526B" w:rsidRPr="002A61C9" w:rsidRDefault="000F526B" w:rsidP="00753E05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476B0A">
            <w:rPr>
              <w:noProof/>
              <w:sz w:val="16"/>
              <w:szCs w:val="16"/>
            </w:rPr>
            <w:t>3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476B0A">
            <w:rPr>
              <w:noProof/>
              <w:sz w:val="16"/>
              <w:szCs w:val="16"/>
            </w:rPr>
            <w:t>3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:rsidR="000F526B" w:rsidRPr="0067778F" w:rsidRDefault="000F526B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DC" w:rsidRDefault="008E09DC">
      <w:r>
        <w:separator/>
      </w:r>
    </w:p>
  </w:footnote>
  <w:footnote w:type="continuationSeparator" w:id="0">
    <w:p w:rsidR="008E09DC" w:rsidRDefault="008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90472A" w:rsidTr="00105B15">
      <w:trPr>
        <w:trHeight w:val="1000"/>
      </w:trPr>
      <w:tc>
        <w:tcPr>
          <w:tcW w:w="1064" w:type="dxa"/>
          <w:tcBorders>
            <w:bottom w:val="single" w:sz="6" w:space="0" w:color="auto"/>
          </w:tcBorders>
        </w:tcPr>
        <w:p w:rsidR="0090472A" w:rsidRDefault="0090472A" w:rsidP="00965565">
          <w:pPr>
            <w:pStyle w:val="Zhlav"/>
            <w:rPr>
              <w:sz w:val="16"/>
            </w:rPr>
          </w:pPr>
        </w:p>
      </w:tc>
      <w:tc>
        <w:tcPr>
          <w:tcW w:w="8007" w:type="dxa"/>
          <w:tcBorders>
            <w:bottom w:val="single" w:sz="6" w:space="0" w:color="auto"/>
          </w:tcBorders>
        </w:tcPr>
        <w:p w:rsidR="0090472A" w:rsidRDefault="0090472A" w:rsidP="00965565">
          <w:pPr>
            <w:pStyle w:val="Zhlav"/>
            <w:rPr>
              <w:sz w:val="16"/>
            </w:rPr>
          </w:pPr>
        </w:p>
        <w:p w:rsidR="004C26EA" w:rsidRDefault="004C26EA" w:rsidP="004C26EA">
          <w:pPr>
            <w:pStyle w:val="Zhlav"/>
            <w:ind w:left="499"/>
            <w:rPr>
              <w:b/>
              <w:caps/>
              <w:szCs w:val="24"/>
            </w:rPr>
          </w:pPr>
          <w:r>
            <w:rPr>
              <w:b/>
              <w:caps/>
              <w:szCs w:val="24"/>
            </w:rPr>
            <w:t xml:space="preserve">výměna obvod. výplní a stavební úpravy </w:t>
          </w:r>
        </w:p>
        <w:p w:rsidR="0090472A" w:rsidRDefault="004C26EA" w:rsidP="004C26EA">
          <w:pPr>
            <w:pStyle w:val="Zhlav"/>
            <w:ind w:left="499"/>
            <w:rPr>
              <w:sz w:val="20"/>
            </w:rPr>
          </w:pPr>
          <w:r>
            <w:rPr>
              <w:b/>
              <w:caps/>
              <w:szCs w:val="24"/>
            </w:rPr>
            <w:t xml:space="preserve">objektu dílen voš </w:t>
          </w:r>
          <w:r>
            <w:rPr>
              <w:b/>
              <w:szCs w:val="24"/>
            </w:rPr>
            <w:t>a SPŠ KUTNÁ HORA</w:t>
          </w:r>
          <w:r w:rsidR="0090472A">
            <w:rPr>
              <w:sz w:val="16"/>
              <w:szCs w:val="16"/>
            </w:rPr>
            <w:t xml:space="preserve">                                                                                                              </w:t>
          </w:r>
        </w:p>
      </w:tc>
    </w:tr>
  </w:tbl>
  <w:p w:rsidR="006D42E2" w:rsidRDefault="006D42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2B7"/>
    <w:multiLevelType w:val="hybridMultilevel"/>
    <w:tmpl w:val="417C8954"/>
    <w:lvl w:ilvl="0" w:tplc="922E71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3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013A2"/>
    <w:multiLevelType w:val="hybridMultilevel"/>
    <w:tmpl w:val="826A9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54625"/>
    <w:multiLevelType w:val="hybridMultilevel"/>
    <w:tmpl w:val="A97EC2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95EB1"/>
    <w:multiLevelType w:val="hybridMultilevel"/>
    <w:tmpl w:val="3DAC3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11ED0"/>
    <w:multiLevelType w:val="hybridMultilevel"/>
    <w:tmpl w:val="0262A7F4"/>
    <w:lvl w:ilvl="0" w:tplc="4086C9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93C18B6"/>
    <w:multiLevelType w:val="hybridMultilevel"/>
    <w:tmpl w:val="7DEC40EA"/>
    <w:lvl w:ilvl="0" w:tplc="AF7CAB5A">
      <w:start w:val="1"/>
      <w:numFmt w:val="lowerLetter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EF0990"/>
    <w:multiLevelType w:val="hybridMultilevel"/>
    <w:tmpl w:val="5BCE8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D7755"/>
    <w:multiLevelType w:val="hybridMultilevel"/>
    <w:tmpl w:val="BC16264E"/>
    <w:lvl w:ilvl="0" w:tplc="8808362C">
      <w:start w:val="1"/>
      <w:numFmt w:val="lowerLetter"/>
      <w:pStyle w:val="Nadpis1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C0C3F"/>
    <w:multiLevelType w:val="hybridMultilevel"/>
    <w:tmpl w:val="E83CE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511F5408"/>
    <w:multiLevelType w:val="hybridMultilevel"/>
    <w:tmpl w:val="4F281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7336A"/>
    <w:multiLevelType w:val="hybridMultilevel"/>
    <w:tmpl w:val="75967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66621448"/>
    <w:multiLevelType w:val="hybridMultilevel"/>
    <w:tmpl w:val="10A85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B22F65"/>
    <w:multiLevelType w:val="hybridMultilevel"/>
    <w:tmpl w:val="4AC4C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65BC4"/>
    <w:multiLevelType w:val="hybridMultilevel"/>
    <w:tmpl w:val="AC34E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6E66EC"/>
    <w:multiLevelType w:val="hybridMultilevel"/>
    <w:tmpl w:val="DA6E2632"/>
    <w:lvl w:ilvl="0" w:tplc="C956701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BA127C5"/>
    <w:multiLevelType w:val="hybridMultilevel"/>
    <w:tmpl w:val="FBD6E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8"/>
  </w:num>
  <w:num w:numId="4">
    <w:abstractNumId w:val="18"/>
  </w:num>
  <w:num w:numId="5">
    <w:abstractNumId w:val="2"/>
  </w:num>
  <w:num w:numId="6">
    <w:abstractNumId w:val="14"/>
  </w:num>
  <w:num w:numId="7">
    <w:abstractNumId w:val="15"/>
  </w:num>
  <w:num w:numId="8">
    <w:abstractNumId w:val="8"/>
  </w:num>
  <w:num w:numId="9">
    <w:abstractNumId w:val="9"/>
  </w:num>
  <w:num w:numId="10">
    <w:abstractNumId w:val="8"/>
    <w:lvlOverride w:ilvl="0">
      <w:startOverride w:val="1"/>
    </w:lvlOverride>
  </w:num>
  <w:num w:numId="11">
    <w:abstractNumId w:val="3"/>
  </w:num>
  <w:num w:numId="12">
    <w:abstractNumId w:val="13"/>
  </w:num>
  <w:num w:numId="13">
    <w:abstractNumId w:val="24"/>
  </w:num>
  <w:num w:numId="14">
    <w:abstractNumId w:val="11"/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19"/>
  </w:num>
  <w:num w:numId="21">
    <w:abstractNumId w:val="7"/>
  </w:num>
  <w:num w:numId="22">
    <w:abstractNumId w:val="10"/>
  </w:num>
  <w:num w:numId="23">
    <w:abstractNumId w:val="8"/>
    <w:lvlOverride w:ilvl="0">
      <w:startOverride w:val="1"/>
    </w:lvlOverride>
  </w:num>
  <w:num w:numId="24">
    <w:abstractNumId w:val="6"/>
  </w:num>
  <w:num w:numId="25">
    <w:abstractNumId w:val="8"/>
    <w:lvlOverride w:ilvl="0">
      <w:startOverride w:val="1"/>
    </w:lvlOverride>
  </w:num>
  <w:num w:numId="26">
    <w:abstractNumId w:val="16"/>
  </w:num>
  <w:num w:numId="27">
    <w:abstractNumId w:val="8"/>
    <w:lvlOverride w:ilvl="0">
      <w:startOverride w:val="1"/>
    </w:lvlOverride>
  </w:num>
  <w:num w:numId="28">
    <w:abstractNumId w:val="17"/>
  </w:num>
  <w:num w:numId="29">
    <w:abstractNumId w:val="8"/>
    <w:lvlOverride w:ilvl="0">
      <w:startOverride w:val="1"/>
    </w:lvlOverride>
  </w:num>
  <w:num w:numId="30">
    <w:abstractNumId w:val="20"/>
  </w:num>
  <w:num w:numId="31">
    <w:abstractNumId w:val="8"/>
    <w:lvlOverride w:ilvl="0">
      <w:startOverride w:val="1"/>
    </w:lvlOverride>
  </w:num>
  <w:num w:numId="32">
    <w:abstractNumId w:val="21"/>
  </w:num>
  <w:num w:numId="33">
    <w:abstractNumId w:val="4"/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5"/>
  </w:num>
  <w:num w:numId="37">
    <w:abstractNumId w:val="8"/>
    <w:lvlOverride w:ilvl="0">
      <w:startOverride w:val="1"/>
    </w:lvlOverride>
  </w:num>
  <w:num w:numId="38">
    <w:abstractNumId w:val="22"/>
  </w:num>
  <w:num w:numId="39">
    <w:abstractNumId w:val="0"/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12"/>
  </w:num>
  <w:num w:numId="43">
    <w:abstractNumId w:val="8"/>
    <w:lvlOverride w:ilvl="0">
      <w:startOverride w:val="1"/>
    </w:lvlOverride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15DE3"/>
    <w:rsid w:val="00037583"/>
    <w:rsid w:val="0005125E"/>
    <w:rsid w:val="000820C7"/>
    <w:rsid w:val="00096A53"/>
    <w:rsid w:val="000B5B0B"/>
    <w:rsid w:val="000E642B"/>
    <w:rsid w:val="000F526B"/>
    <w:rsid w:val="000F63D5"/>
    <w:rsid w:val="00105B15"/>
    <w:rsid w:val="00133F5E"/>
    <w:rsid w:val="0017340F"/>
    <w:rsid w:val="001C26AA"/>
    <w:rsid w:val="001C5788"/>
    <w:rsid w:val="001D2065"/>
    <w:rsid w:val="001D73FA"/>
    <w:rsid w:val="001E6057"/>
    <w:rsid w:val="001E640B"/>
    <w:rsid w:val="0022264F"/>
    <w:rsid w:val="00244A6D"/>
    <w:rsid w:val="002B42CE"/>
    <w:rsid w:val="002B5136"/>
    <w:rsid w:val="002E5D5B"/>
    <w:rsid w:val="002F45E8"/>
    <w:rsid w:val="00342600"/>
    <w:rsid w:val="00351B55"/>
    <w:rsid w:val="003572AB"/>
    <w:rsid w:val="003B0E37"/>
    <w:rsid w:val="003D3D48"/>
    <w:rsid w:val="003D6A4E"/>
    <w:rsid w:val="00402895"/>
    <w:rsid w:val="004064FD"/>
    <w:rsid w:val="00441752"/>
    <w:rsid w:val="00462856"/>
    <w:rsid w:val="00476B0A"/>
    <w:rsid w:val="004C26EA"/>
    <w:rsid w:val="0050333D"/>
    <w:rsid w:val="005263B5"/>
    <w:rsid w:val="00530444"/>
    <w:rsid w:val="0054103F"/>
    <w:rsid w:val="005B07F4"/>
    <w:rsid w:val="005B6DAC"/>
    <w:rsid w:val="005C5FAD"/>
    <w:rsid w:val="005D4FE6"/>
    <w:rsid w:val="005D6384"/>
    <w:rsid w:val="005E01B2"/>
    <w:rsid w:val="005E264D"/>
    <w:rsid w:val="005E3C09"/>
    <w:rsid w:val="00610DD6"/>
    <w:rsid w:val="0064763E"/>
    <w:rsid w:val="00681F92"/>
    <w:rsid w:val="006A1A19"/>
    <w:rsid w:val="006D42E2"/>
    <w:rsid w:val="006E685B"/>
    <w:rsid w:val="00705B09"/>
    <w:rsid w:val="00715CC3"/>
    <w:rsid w:val="00722D9D"/>
    <w:rsid w:val="0074467C"/>
    <w:rsid w:val="007A0E58"/>
    <w:rsid w:val="007C2784"/>
    <w:rsid w:val="007C2BD3"/>
    <w:rsid w:val="007D673C"/>
    <w:rsid w:val="008414F0"/>
    <w:rsid w:val="00853FE1"/>
    <w:rsid w:val="008A02FF"/>
    <w:rsid w:val="008E09DC"/>
    <w:rsid w:val="008F1F06"/>
    <w:rsid w:val="0090472A"/>
    <w:rsid w:val="00911775"/>
    <w:rsid w:val="00931AB8"/>
    <w:rsid w:val="0095007C"/>
    <w:rsid w:val="00963850"/>
    <w:rsid w:val="009A327B"/>
    <w:rsid w:val="009B0593"/>
    <w:rsid w:val="00A243E0"/>
    <w:rsid w:val="00A50121"/>
    <w:rsid w:val="00A84B2A"/>
    <w:rsid w:val="00AD7574"/>
    <w:rsid w:val="00AE21DB"/>
    <w:rsid w:val="00B04AF1"/>
    <w:rsid w:val="00B337B5"/>
    <w:rsid w:val="00B93136"/>
    <w:rsid w:val="00BB3207"/>
    <w:rsid w:val="00BB4D18"/>
    <w:rsid w:val="00BC26A5"/>
    <w:rsid w:val="00BE6D82"/>
    <w:rsid w:val="00BF7C55"/>
    <w:rsid w:val="00C73260"/>
    <w:rsid w:val="00C931D2"/>
    <w:rsid w:val="00CA10C5"/>
    <w:rsid w:val="00CA27AA"/>
    <w:rsid w:val="00CB08B3"/>
    <w:rsid w:val="00D16AC7"/>
    <w:rsid w:val="00D43745"/>
    <w:rsid w:val="00D51903"/>
    <w:rsid w:val="00D75FC1"/>
    <w:rsid w:val="00DB6724"/>
    <w:rsid w:val="00DC3D47"/>
    <w:rsid w:val="00DC6A2C"/>
    <w:rsid w:val="00DD3B6C"/>
    <w:rsid w:val="00DE7B0C"/>
    <w:rsid w:val="00DF563D"/>
    <w:rsid w:val="00E139AE"/>
    <w:rsid w:val="00E33FFB"/>
    <w:rsid w:val="00E619A2"/>
    <w:rsid w:val="00E659A2"/>
    <w:rsid w:val="00E67E98"/>
    <w:rsid w:val="00EA164B"/>
    <w:rsid w:val="00ED7CF1"/>
    <w:rsid w:val="00F276B5"/>
    <w:rsid w:val="00F54A71"/>
    <w:rsid w:val="00F71CC9"/>
    <w:rsid w:val="00FC13EA"/>
    <w:rsid w:val="00FF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FF256C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rFonts w:eastAsiaTheme="minorHAnsi"/>
      <w:b/>
      <w:kern w:val="28"/>
      <w:szCs w:val="20"/>
      <w:u w:val="single"/>
      <w:lang w:eastAsia="cs-CZ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441752"/>
    <w:pPr>
      <w:keepNext/>
      <w:numPr>
        <w:numId w:val="8"/>
      </w:numPr>
      <w:spacing w:line="0" w:lineRule="atLeast"/>
      <w:outlineLvl w:val="2"/>
    </w:pPr>
    <w:rPr>
      <w:rFonts w:eastAsiaTheme="minorHAnsi"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FF256C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semiHidden/>
    <w:rsid w:val="00096A53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FF256C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rFonts w:eastAsiaTheme="minorHAnsi"/>
      <w:b/>
      <w:kern w:val="28"/>
      <w:szCs w:val="20"/>
      <w:u w:val="single"/>
      <w:lang w:eastAsia="cs-CZ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441752"/>
    <w:pPr>
      <w:keepNext/>
      <w:numPr>
        <w:numId w:val="8"/>
      </w:numPr>
      <w:spacing w:line="0" w:lineRule="atLeast"/>
      <w:outlineLvl w:val="2"/>
    </w:pPr>
    <w:rPr>
      <w:rFonts w:eastAsiaTheme="minorHAnsi"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FF256C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semiHidden/>
    <w:rsid w:val="00096A53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3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2DB32-A076-4893-9BA0-72FC4502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3</Pages>
  <Words>956</Words>
  <Characters>6167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DPS B Souhrnná technická zpráva</vt:lpstr>
      <vt:lpstr>DPS B Souhrnná technická zpráva</vt:lpstr>
    </vt:vector>
  </TitlesOfParts>
  <Company>SATER - PROJEKT s.r.o.</Company>
  <LinksUpToDate>false</LinksUpToDate>
  <CharactersWithSpaces>7109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B Souhrnná technická zpráva</dc:title>
  <dc:creator>zdenek.dobias@sater-projekt.cz</dc:creator>
  <cp:lastModifiedBy>Novak</cp:lastModifiedBy>
  <cp:revision>23</cp:revision>
  <cp:lastPrinted>2016-09-20T15:39:00Z</cp:lastPrinted>
  <dcterms:created xsi:type="dcterms:W3CDTF">2013-03-28T20:01:00Z</dcterms:created>
  <dcterms:modified xsi:type="dcterms:W3CDTF">2016-10-10T12:56:00Z</dcterms:modified>
</cp:coreProperties>
</file>